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R3-20</w:t>
      </w:r>
      <w:r>
        <w:rPr>
          <w:rFonts w:hint="eastAsia" w:eastAsia="宋体"/>
          <w:b/>
          <w:i/>
          <w:sz w:val="28"/>
          <w:lang w:val="en-US" w:eastAsia="zh-CN"/>
        </w:rPr>
        <w:t>6087</w:t>
      </w:r>
      <w:bookmarkStart w:id="7" w:name="_GoBack"/>
      <w:bookmarkEnd w:id="7"/>
    </w:p>
    <w:p>
      <w:pPr>
        <w:pStyle w:val="82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Online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0632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Overlapping Band Handling over F1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CATT, Samsung, Nokia</w:t>
            </w:r>
            <w:r>
              <w:rPr>
                <w:rFonts w:hint="eastAsia" w:eastAsia="宋体"/>
                <w:b w:val="0"/>
                <w:bCs w:val="0"/>
                <w:sz w:val="18"/>
                <w:szCs w:val="18"/>
                <w:lang w:val="en-US" w:eastAsia="zh-CN"/>
              </w:rPr>
              <w:t xml:space="preserve">, Nokia, </w:t>
            </w:r>
            <w:r>
              <w:rPr>
                <w:rFonts w:hint="eastAsia" w:ascii="Arial" w:hAnsi="Arial" w:eastAsia="宋体" w:cs="Times New Roman"/>
                <w:b w:val="0"/>
                <w:bCs w:val="0"/>
                <w:i w:val="0"/>
                <w:caps w:val="0"/>
                <w:spacing w:val="0"/>
                <w:sz w:val="18"/>
                <w:szCs w:val="18"/>
                <w:shd w:val="clear"/>
                <w:lang w:val="en-US" w:eastAsia="zh-CN"/>
              </w:rPr>
              <w:t>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2020-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>In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lang w:val="en-US" w:eastAsia="zh-CN"/>
              </w:rPr>
              <w:t>carrier aggregation and dual connectivity scenarios, the UE may support different band combinations with overlapping bands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for</w:t>
            </w:r>
            <w:r>
              <w:rPr>
                <w:rFonts w:hint="default" w:ascii="Arial" w:hAnsi="Arial" w:cs="Arial"/>
                <w:lang w:val="en-US" w:eastAsia="zh-CN"/>
              </w:rPr>
              <w:t xml:space="preserve"> the network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to </w:t>
            </w:r>
            <w:r>
              <w:rPr>
                <w:rFonts w:hint="default" w:ascii="Arial" w:hAnsi="Arial" w:cs="Arial"/>
                <w:lang w:val="en-US" w:eastAsia="zh-CN"/>
              </w:rPr>
              <w:t>select the band combination with highest throughput to provide the best performance for the UE, the gNB-DU shall transmit the newly selected band in form of band combination to the gNB-CU</w:t>
            </w:r>
            <w:r>
              <w:rPr>
                <w:rFonts w:hint="eastAsia" w:ascii="Arial" w:hAnsi="Arial" w:cs="Arial"/>
                <w:lang w:val="en-US" w:eastAsia="zh-CN"/>
              </w:rPr>
              <w:t>. However, i</w:t>
            </w:r>
            <w:r>
              <w:rPr>
                <w:rFonts w:hint="default" w:ascii="Arial" w:hAnsi="Arial" w:cs="Arial"/>
                <w:lang w:val="en-US" w:eastAsia="zh-CN"/>
              </w:rPr>
              <w:t xml:space="preserve">n current F1AP specification, there is no </w:t>
            </w:r>
            <w:r>
              <w:rPr>
                <w:rFonts w:hint="eastAsia" w:ascii="Arial" w:hAnsi="Arial" w:cs="Arial"/>
                <w:lang w:val="en-US" w:eastAsia="zh-CN"/>
              </w:rPr>
              <w:t>related</w:t>
            </w:r>
            <w:r>
              <w:rPr>
                <w:rFonts w:hint="default" w:ascii="Arial" w:hAnsi="Arial" w:cs="Arial"/>
                <w:lang w:val="en-US" w:eastAsia="zh-CN"/>
              </w:rPr>
              <w:t xml:space="preserve"> description of this issue, especially for the CA scenario.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 xml:space="preserve">Extend the scope of the </w:t>
            </w:r>
            <w:r>
              <w:rPr>
                <w:rFonts w:hint="eastAsia" w:eastAsia="宋体" w:cs="Arial"/>
                <w:i/>
                <w:iCs/>
                <w:lang w:val="en-US" w:eastAsia="zh-CN"/>
              </w:rPr>
              <w:t xml:space="preserve">Selected BandCombinationIndex </w:t>
            </w:r>
            <w:r>
              <w:rPr>
                <w:rFonts w:hint="eastAsia" w:eastAsia="宋体" w:cs="Arial"/>
                <w:i w:val="0"/>
                <w:iCs w:val="0"/>
                <w:lang w:val="en-US" w:eastAsia="zh-CN"/>
              </w:rPr>
              <w:t>IE</w:t>
            </w:r>
            <w:r>
              <w:rPr>
                <w:rFonts w:hint="eastAsia" w:eastAsia="宋体" w:cs="Arial"/>
                <w:lang w:val="en-US" w:eastAsia="zh-CN"/>
              </w:rPr>
              <w:t xml:space="preserve"> to include CA scenario.</w:t>
            </w:r>
          </w:p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the band selection over F1</w:t>
            </w:r>
            <w: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ASN.1 impact.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The network can</w:t>
            </w:r>
            <w:r>
              <w:rPr>
                <w:rFonts w:hint="eastAsia" w:eastAsia="宋体"/>
                <w:lang w:val="en-US" w:eastAsia="zh-CN"/>
              </w:rPr>
              <w:t>not</w:t>
            </w:r>
            <w:r>
              <w:t xml:space="preserve"> select</w:t>
            </w:r>
            <w:r>
              <w:rPr>
                <w:rFonts w:hint="eastAsia" w:eastAsia="宋体"/>
                <w:lang w:val="en-US" w:eastAsia="zh-CN"/>
              </w:rPr>
              <w:t xml:space="preserve"> the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optimal band combination for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</w:t>
            </w:r>
          </w:p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the semantic description of the </w:t>
            </w:r>
            <w:r>
              <w:rPr>
                <w:i/>
                <w:iCs/>
                <w:lang w:eastAsia="zh-CN"/>
              </w:rPr>
              <w:t>Selected BandCombinationIndex</w:t>
            </w:r>
            <w:r>
              <w:rPr>
                <w:rFonts w:hint="eastAsia"/>
                <w:lang w:val="en-US" w:eastAsia="zh-CN"/>
              </w:rPr>
              <w:t xml:space="preserve"> IE and update on the cover sheet.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Rev2: 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Clean up the coversheet.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</w:pPr>
      <w:bookmarkStart w:id="2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5"/>
        <w:rPr>
          <w:lang w:eastAsia="zh-CN"/>
        </w:rPr>
      </w:pPr>
      <w:bookmarkStart w:id="3" w:name="_Toc45832433"/>
      <w:bookmarkStart w:id="4" w:name="_Toc20955930"/>
      <w:bookmarkStart w:id="5" w:name="_Toc29893048"/>
      <w:bookmarkStart w:id="6" w:name="_Toc36556985"/>
      <w:r>
        <w:rPr>
          <w:lang w:eastAsia="zh-CN"/>
        </w:rPr>
        <w:t>9.3.1.26</w:t>
      </w:r>
      <w:r>
        <w:rPr>
          <w:lang w:eastAsia="zh-CN"/>
        </w:rPr>
        <w:tab/>
      </w:r>
      <w:r>
        <w:rPr>
          <w:lang w:eastAsia="zh-CN"/>
        </w:rPr>
        <w:t>DU to CU RRC Information</w:t>
      </w:r>
      <w:bookmarkEnd w:id="3"/>
      <w:bookmarkEnd w:id="4"/>
      <w:bookmarkEnd w:id="5"/>
      <w:bookmarkEnd w:id="6"/>
    </w:p>
    <w:p>
      <w:pPr>
        <w:rPr>
          <w:lang w:eastAsia="zh-CN"/>
        </w:rPr>
      </w:pPr>
      <w:r>
        <w:rPr>
          <w:lang w:eastAsia="zh-CN"/>
        </w:rPr>
        <w:t>This IE contains the RRC Information that are sent from the gNB-DU to the gNB-CU.</w:t>
      </w:r>
    </w:p>
    <w:tbl>
      <w:tblPr>
        <w:tblStyle w:val="43"/>
        <w:tblW w:w="1043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99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CellGroupConfig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CellGroupConfig, as defined in TS 38.331 [8].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MeasGapConfig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MeasGapConfig as defined in TS 38.331 [8].</w:t>
            </w: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</w:rPr>
              <w:t xml:space="preserve"> operation, includes the gap for FR2, as requested by the gNB-CU via MeasConfig IE. </w:t>
            </w:r>
          </w:p>
          <w:p>
            <w:pPr>
              <w:pStyle w:val="54"/>
              <w:rPr>
                <w:rFonts w:eastAsia="Malgun Gothic"/>
              </w:rPr>
            </w:pP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For </w:t>
            </w:r>
            <w:r>
              <w:rPr>
                <w:szCs w:val="18"/>
                <w:lang w:eastAsia="zh-CN"/>
              </w:rPr>
              <w:t>NG-RAN,NE-DC and MN for NR-NR DC</w:t>
            </w:r>
            <w:r>
              <w:rPr>
                <w:rFonts w:eastAsia="Malgun Gothic"/>
              </w:rPr>
              <w:t>, includes the gap(s) for FR1 and/or FR2, as requested by the gNB-CU via MeasConfig IE and according to the requested gap type (per-UE or per-FR).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P-MaxFR1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requestedP-MaxFR1, as defined in TS 38.331 [8]. </w:t>
            </w: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For EN-DC,  NGEN-DC and NR-DC operation, this IE should be included.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zh-CN"/>
              </w:rPr>
              <w:t>Identical to the value of the drx-LongCycleStartOffset IE within the DRX-Config as defined in TS 38.331 [8].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Selected BandCombinationIndex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BandCombinationIndex, as defined in TS 38.331 [8]. 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hint="default" w:eastAsia="Malgun Gothic"/>
                <w:lang w:val="en-US"/>
              </w:rPr>
              <w:t xml:space="preserve">For </w:t>
            </w:r>
            <w:ins w:id="0" w:author="ZTE-Yin Gao" w:date="2020-08-26T10:58:20Z">
              <w:r>
                <w:rPr>
                  <w:rFonts w:hint="eastAsia" w:eastAsia="宋体"/>
                  <w:lang w:val="en-US" w:eastAsia="zh-CN"/>
                </w:rPr>
                <w:t xml:space="preserve">NR </w:t>
              </w:r>
            </w:ins>
            <w:ins w:id="1" w:author="ZTE-Yin Gao" w:date="2020-08-26T10:58:20Z">
              <w:r>
                <w:rPr>
                  <w:rFonts w:hint="default" w:eastAsia="宋体"/>
                  <w:lang w:val="en-US" w:eastAsia="zh-CN"/>
                </w:rPr>
                <w:t>CA,</w:t>
              </w:r>
            </w:ins>
            <w:ins w:id="2" w:author="ZTE" w:date="2020-08-05T18:26:47Z">
              <w:r>
                <w:rPr>
                  <w:rFonts w:hint="default" w:eastAsia="宋体"/>
                  <w:lang w:val="en-US" w:eastAsia="zh-CN"/>
                </w:rPr>
                <w:t xml:space="preserve"> </w:t>
              </w:r>
            </w:ins>
            <w:r>
              <w:rPr>
                <w:rFonts w:hint="default" w:eastAsia="Malgun Gothic"/>
                <w:lang w:val="en-US"/>
              </w:rPr>
              <w:t>(NG)EN-DC and NR DC operation, t</w:t>
            </w:r>
            <w:r>
              <w:rPr>
                <w:rFonts w:eastAsia="Malgun Gothic"/>
              </w:rPr>
              <w:t>his IE should be included so that gNB-CU is informed of the selected Band Combination.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Selected FeatureSetEntryIndex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FeatureSetEntryIndex, as defined in TS 38.331 [8]. 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h-InfoSCG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PH-TypeListSCG</w:t>
            </w:r>
            <w:r>
              <w:rPr>
                <w:lang w:eastAsia="zh-CN"/>
              </w:rPr>
              <w:t xml:space="preserve">, as defined in TS 38.331 [8].For MR-DC, this IE should be included so that </w:t>
            </w:r>
            <w:r>
              <w:rPr>
                <w:rFonts w:eastAsia="Malgun Gothic"/>
              </w:rPr>
              <w:t>gNB-CU is informed of the</w:t>
            </w:r>
            <w:r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Malgun Gothic"/>
                <w:lang w:eastAsia="en-US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BandCombinationIndex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 xml:space="preserve">BandCombinationIndex, as defined in TS 38.331 [8]. </w:t>
            </w:r>
          </w:p>
          <w:p>
            <w:pPr>
              <w:pStyle w:val="54"/>
            </w:pPr>
            <w: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FeatureSetEntryIndex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 xml:space="preserve">FeatureSetEntryIndex, as defined in TS 38.331 [8]. </w:t>
            </w:r>
          </w:p>
          <w:p>
            <w:pPr>
              <w:pStyle w:val="54"/>
            </w:pPr>
            <w: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DRX-Config, as defined in TS 38.331 [8].</w:t>
            </w:r>
          </w:p>
          <w:p>
            <w:pPr>
              <w:pStyle w:val="54"/>
            </w:pPr>
            <w:r>
              <w:t>This field is only used in NR-DC.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pdcch-BlindDetectionSCG, as defined in TS 38.331 [8].</w:t>
            </w:r>
            <w:r>
              <w:rPr>
                <w:rFonts w:hint="eastAsia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Requested </w:t>
            </w:r>
            <w:r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requestedPDCCH-BlindDetectionSCG, as defined in TS 38.331 [8].</w:t>
            </w:r>
            <w:r>
              <w:rPr>
                <w:rFonts w:hint="eastAsia"/>
              </w:rPr>
              <w:t xml:space="preserve"> This IE is used between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 xml:space="preserve">gNB-DU and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gNB-CU.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Ph-InfoMCG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PH-TypeList</w:t>
            </w:r>
            <w:r>
              <w:rPr>
                <w:lang w:eastAsia="zh-CN"/>
              </w:rPr>
              <w:t>M</w:t>
            </w:r>
            <w:r>
              <w:t>CG, as defined in TS 38.331 [8].</w:t>
            </w:r>
            <w:r>
              <w:rPr>
                <w:lang w:eastAsia="zh-CN"/>
              </w:rPr>
              <w:t xml:space="preserve"> </w:t>
            </w:r>
            <w:r>
              <w:t xml:space="preserve">For MR-DC, this IE should be included so that gNB-CU is informed of the Power Headroom type for each serving cell in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CG</w:t>
            </w:r>
            <w:r>
              <w:t>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L-ConfigDedicatedEUTRA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SL-ConfigDedicatedEUTRA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Requested P-MaxFR2</w:t>
            </w:r>
          </w:p>
        </w:tc>
        <w:tc>
          <w:tcPr>
            <w:tcW w:w="99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 xml:space="preserve">RequestedP-MaxFR2, as defined in TS 38.331 [8]. </w:t>
            </w:r>
          </w:p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For NR-DC operation, this IE should be included.</w:t>
            </w:r>
          </w:p>
        </w:tc>
        <w:tc>
          <w:tcPr>
            <w:tcW w:w="127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</w:tbl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bookmarkEnd w:id="2"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in Gao">
    <w15:presenceInfo w15:providerId="None" w15:userId="ZTE-Yin Gao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5355D6B"/>
    <w:rsid w:val="062B7049"/>
    <w:rsid w:val="09933D68"/>
    <w:rsid w:val="099E498D"/>
    <w:rsid w:val="0B424A65"/>
    <w:rsid w:val="0D2A08D2"/>
    <w:rsid w:val="0EAC64A3"/>
    <w:rsid w:val="143D78AF"/>
    <w:rsid w:val="14851316"/>
    <w:rsid w:val="158D0A26"/>
    <w:rsid w:val="1AEE55DE"/>
    <w:rsid w:val="1E5E1862"/>
    <w:rsid w:val="1E7F0468"/>
    <w:rsid w:val="1EF21374"/>
    <w:rsid w:val="20103C48"/>
    <w:rsid w:val="217D10FA"/>
    <w:rsid w:val="22624739"/>
    <w:rsid w:val="233E491F"/>
    <w:rsid w:val="23562F57"/>
    <w:rsid w:val="26284712"/>
    <w:rsid w:val="28D97855"/>
    <w:rsid w:val="29420F25"/>
    <w:rsid w:val="2B4B7182"/>
    <w:rsid w:val="2C7258C0"/>
    <w:rsid w:val="2C9F7DE2"/>
    <w:rsid w:val="32AD0F3A"/>
    <w:rsid w:val="34A14911"/>
    <w:rsid w:val="36124C33"/>
    <w:rsid w:val="38AB5A5F"/>
    <w:rsid w:val="3D106F67"/>
    <w:rsid w:val="3EC73428"/>
    <w:rsid w:val="40035D84"/>
    <w:rsid w:val="404A06AE"/>
    <w:rsid w:val="43820935"/>
    <w:rsid w:val="4555545B"/>
    <w:rsid w:val="46F07A4A"/>
    <w:rsid w:val="4B113C8F"/>
    <w:rsid w:val="4DFD4205"/>
    <w:rsid w:val="4E2B00D4"/>
    <w:rsid w:val="4E9920D2"/>
    <w:rsid w:val="4EE10D03"/>
    <w:rsid w:val="4FDB15DC"/>
    <w:rsid w:val="5170674B"/>
    <w:rsid w:val="52C7538C"/>
    <w:rsid w:val="583F0AA0"/>
    <w:rsid w:val="5D2F161E"/>
    <w:rsid w:val="606D4158"/>
    <w:rsid w:val="62B32F94"/>
    <w:rsid w:val="659D456E"/>
    <w:rsid w:val="67DA5837"/>
    <w:rsid w:val="681E30D5"/>
    <w:rsid w:val="68B82AFD"/>
    <w:rsid w:val="69281DE8"/>
    <w:rsid w:val="71463965"/>
    <w:rsid w:val="740623C6"/>
    <w:rsid w:val="751C0769"/>
    <w:rsid w:val="7AF1106A"/>
    <w:rsid w:val="7F87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808007-6978-451A-943B-DBDB29619D83}">
  <ds:schemaRefs/>
</ds:datastoreItem>
</file>

<file path=customXml/itemProps3.xml><?xml version="1.0" encoding="utf-8"?>
<ds:datastoreItem xmlns:ds="http://schemas.openxmlformats.org/officeDocument/2006/customXml" ds:itemID="{304C9B4D-4142-4B34-814F-A8110AFDB556}">
  <ds:schemaRefs/>
</ds:datastoreItem>
</file>

<file path=customXml/itemProps4.xml><?xml version="1.0" encoding="utf-8"?>
<ds:datastoreItem xmlns:ds="http://schemas.openxmlformats.org/officeDocument/2006/customXml" ds:itemID="{691469A8-A4FC-4AD6-B49B-0085A49FADE1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4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00033693</cp:lastModifiedBy>
  <cp:lastPrinted>2411-12-31T23:00:00Z</cp:lastPrinted>
  <dcterms:modified xsi:type="dcterms:W3CDTF">2020-10-21T02:18:32Z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